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tblInd w:w="93" w:type="dxa"/>
        <w:tblLayout w:type="fixed"/>
        <w:tblLook w:val="04A0" w:firstRow="1" w:lastRow="0" w:firstColumn="1" w:lastColumn="0" w:noHBand="0" w:noVBand="1"/>
      </w:tblPr>
      <w:tblGrid>
        <w:gridCol w:w="735"/>
        <w:gridCol w:w="2030"/>
        <w:gridCol w:w="2030"/>
        <w:gridCol w:w="4040"/>
        <w:gridCol w:w="236"/>
      </w:tblGrid>
      <w:tr w:rsidR="00360C91" w:rsidRPr="00360C91" w14:paraId="2BE92492" w14:textId="77777777" w:rsidTr="00360C91">
        <w:trPr>
          <w:gridAfter w:val="1"/>
          <w:wAfter w:w="236" w:type="dxa"/>
          <w:trHeight w:val="280"/>
        </w:trPr>
        <w:tc>
          <w:tcPr>
            <w:tcW w:w="735" w:type="dxa"/>
            <w:tcBorders>
              <w:top w:val="nil"/>
              <w:left w:val="nil"/>
              <w:bottom w:val="nil"/>
              <w:right w:val="nil"/>
            </w:tcBorders>
            <w:shd w:val="clear" w:color="auto" w:fill="auto"/>
            <w:noWrap/>
            <w:vAlign w:val="bottom"/>
            <w:hideMark/>
          </w:tcPr>
          <w:p w14:paraId="788D8DF3" w14:textId="77777777" w:rsidR="00ED4537" w:rsidRPr="00360C91" w:rsidRDefault="00ED4537" w:rsidP="00360C91">
            <w:pPr>
              <w:spacing w:line="360" w:lineRule="auto"/>
              <w:ind w:right="844"/>
              <w:jc w:val="center"/>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698B9BE9" w14:textId="77777777" w:rsidR="00ED4537" w:rsidRPr="00360C91" w:rsidRDefault="00ED4537" w:rsidP="00360C91">
            <w:pPr>
              <w:spacing w:line="360" w:lineRule="auto"/>
              <w:ind w:firstLineChars="400" w:firstLine="1039"/>
              <w:rPr>
                <w:rFonts w:ascii="Times" w:eastAsia="Times New Roman" w:hAnsi="Times" w:cs="Times New Roman"/>
                <w:b/>
                <w:bCs/>
                <w:color w:val="000000"/>
              </w:rPr>
            </w:pPr>
            <w:r w:rsidRPr="00360C91">
              <w:rPr>
                <w:rFonts w:ascii="Times" w:eastAsia="Times New Roman" w:hAnsi="Times" w:cs="Times New Roman"/>
                <w:b/>
                <w:bCs/>
                <w:color w:val="000000"/>
              </w:rPr>
              <w:t>AST</w:t>
            </w:r>
          </w:p>
        </w:tc>
      </w:tr>
      <w:tr w:rsidR="00360C91" w:rsidRPr="00360C91" w14:paraId="6351D2B8" w14:textId="77777777" w:rsidTr="00360C91">
        <w:trPr>
          <w:trHeight w:val="150"/>
        </w:trPr>
        <w:tc>
          <w:tcPr>
            <w:tcW w:w="735" w:type="dxa"/>
            <w:tcBorders>
              <w:top w:val="nil"/>
              <w:left w:val="nil"/>
              <w:bottom w:val="nil"/>
              <w:right w:val="nil"/>
            </w:tcBorders>
            <w:shd w:val="clear" w:color="auto" w:fill="auto"/>
            <w:noWrap/>
            <w:vAlign w:val="center"/>
            <w:hideMark/>
          </w:tcPr>
          <w:p w14:paraId="2A2CB03C"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F71B44F"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81EEB41"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7533EB0F"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63CDA578"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082D3507" w14:textId="77777777" w:rsidTr="00360C91">
        <w:trPr>
          <w:gridAfter w:val="1"/>
          <w:wAfter w:w="236" w:type="dxa"/>
          <w:trHeight w:val="945"/>
        </w:trPr>
        <w:tc>
          <w:tcPr>
            <w:tcW w:w="735" w:type="dxa"/>
            <w:tcBorders>
              <w:top w:val="nil"/>
              <w:left w:val="nil"/>
              <w:bottom w:val="nil"/>
              <w:right w:val="nil"/>
            </w:tcBorders>
            <w:shd w:val="clear" w:color="auto" w:fill="auto"/>
            <w:noWrap/>
          </w:tcPr>
          <w:p w14:paraId="550DCCC9"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0D762319"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Providing aboveground storage tanks with a design and construction built of steel embodying principles recognized as good engineering design for the material used.</w:t>
            </w:r>
          </w:p>
        </w:tc>
      </w:tr>
      <w:tr w:rsidR="00360C91" w:rsidRPr="00360C91" w14:paraId="44B21ED8" w14:textId="77777777" w:rsidTr="00360C91">
        <w:trPr>
          <w:trHeight w:val="150"/>
        </w:trPr>
        <w:tc>
          <w:tcPr>
            <w:tcW w:w="735" w:type="dxa"/>
            <w:tcBorders>
              <w:top w:val="nil"/>
              <w:left w:val="nil"/>
              <w:bottom w:val="nil"/>
              <w:right w:val="nil"/>
            </w:tcBorders>
            <w:shd w:val="clear" w:color="auto" w:fill="auto"/>
            <w:noWrap/>
            <w:vAlign w:val="center"/>
          </w:tcPr>
          <w:p w14:paraId="4957F0D5"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4DBF0A6C"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4FFB26B"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506C7CE6"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6D006F13"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13279006" w14:textId="77777777" w:rsidTr="00360C91">
        <w:trPr>
          <w:gridAfter w:val="1"/>
          <w:wAfter w:w="236" w:type="dxa"/>
          <w:trHeight w:val="930"/>
        </w:trPr>
        <w:tc>
          <w:tcPr>
            <w:tcW w:w="735" w:type="dxa"/>
            <w:tcBorders>
              <w:top w:val="nil"/>
              <w:left w:val="nil"/>
              <w:bottom w:val="nil"/>
              <w:right w:val="nil"/>
            </w:tcBorders>
            <w:shd w:val="clear" w:color="auto" w:fill="auto"/>
            <w:noWrap/>
          </w:tcPr>
          <w:p w14:paraId="00561086"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00C4A62C"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Providing atmospheric tanks built in accordance with the specifications of the incorporated by reference standards found under 29 CFR 1910.106.</w:t>
            </w:r>
          </w:p>
        </w:tc>
      </w:tr>
      <w:tr w:rsidR="00360C91" w:rsidRPr="00360C91" w14:paraId="00EAB8B0" w14:textId="77777777" w:rsidTr="00360C91">
        <w:trPr>
          <w:trHeight w:val="150"/>
        </w:trPr>
        <w:tc>
          <w:tcPr>
            <w:tcW w:w="735" w:type="dxa"/>
            <w:tcBorders>
              <w:top w:val="nil"/>
              <w:left w:val="nil"/>
              <w:bottom w:val="nil"/>
              <w:right w:val="nil"/>
            </w:tcBorders>
            <w:shd w:val="clear" w:color="auto" w:fill="auto"/>
            <w:noWrap/>
            <w:vAlign w:val="center"/>
          </w:tcPr>
          <w:p w14:paraId="6FCCF434"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24C172FE"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C6536BE"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41F1E0E7"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774DDB80"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2D5A9DFF" w14:textId="77777777" w:rsidTr="00360C91">
        <w:trPr>
          <w:gridAfter w:val="1"/>
          <w:wAfter w:w="236" w:type="dxa"/>
          <w:trHeight w:val="2115"/>
        </w:trPr>
        <w:tc>
          <w:tcPr>
            <w:tcW w:w="735" w:type="dxa"/>
            <w:tcBorders>
              <w:top w:val="nil"/>
              <w:left w:val="nil"/>
              <w:bottom w:val="nil"/>
              <w:right w:val="nil"/>
            </w:tcBorders>
            <w:shd w:val="clear" w:color="auto" w:fill="auto"/>
            <w:noWrap/>
          </w:tcPr>
          <w:p w14:paraId="47BBDCBA"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0D0FAC88"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Installing outside aboveground tanks with shell-to-shell spacing between aboveground tanks not be less than 3 feet and the distance between any two adjacent tanks shall not be less than one-sixth the sum of their diameters. When the diameter of one tank is less than one-half the diameter of the adjacent tank, the distance between the two tanks shall not be less than one-half the diameter of the smaller tank.</w:t>
            </w:r>
          </w:p>
        </w:tc>
        <w:bookmarkStart w:id="0" w:name="_GoBack"/>
        <w:bookmarkEnd w:id="0"/>
      </w:tr>
      <w:tr w:rsidR="00360C91" w:rsidRPr="00360C91" w14:paraId="2FFC2959" w14:textId="77777777" w:rsidTr="00360C91">
        <w:trPr>
          <w:trHeight w:val="150"/>
        </w:trPr>
        <w:tc>
          <w:tcPr>
            <w:tcW w:w="735" w:type="dxa"/>
            <w:tcBorders>
              <w:top w:val="nil"/>
              <w:left w:val="nil"/>
              <w:bottom w:val="nil"/>
              <w:right w:val="nil"/>
            </w:tcBorders>
            <w:shd w:val="clear" w:color="auto" w:fill="auto"/>
            <w:noWrap/>
            <w:vAlign w:val="center"/>
          </w:tcPr>
          <w:p w14:paraId="086C0925"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33A78B30"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3D937380"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5CC2BEC7"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361DCADC"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51D40A60" w14:textId="77777777" w:rsidTr="00360C91">
        <w:trPr>
          <w:gridAfter w:val="1"/>
          <w:wAfter w:w="236" w:type="dxa"/>
          <w:trHeight w:val="2145"/>
        </w:trPr>
        <w:tc>
          <w:tcPr>
            <w:tcW w:w="735" w:type="dxa"/>
            <w:tcBorders>
              <w:top w:val="nil"/>
              <w:left w:val="nil"/>
              <w:bottom w:val="nil"/>
              <w:right w:val="nil"/>
            </w:tcBorders>
            <w:shd w:val="clear" w:color="auto" w:fill="auto"/>
            <w:noWrap/>
          </w:tcPr>
          <w:p w14:paraId="77CB037C"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4251A92D"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Ensuring atmospheric storage tanks are adequately vented to prevent the development of vacuum or pressure sufficient to distort the roof of a cone roof tank or exceeding the design pressure in the case of other atmospheric tanks, as a result of filling or emptying, and atmospheric temperature changes in accordance with the American Petroleum Institute Standard 2000 (1968), Venting Atmospheric and Low-Pressure Storage Tanks.</w:t>
            </w:r>
          </w:p>
        </w:tc>
      </w:tr>
      <w:tr w:rsidR="00360C91" w:rsidRPr="00360C91" w14:paraId="4F71DD1E" w14:textId="77777777" w:rsidTr="00360C91">
        <w:trPr>
          <w:trHeight w:val="150"/>
        </w:trPr>
        <w:tc>
          <w:tcPr>
            <w:tcW w:w="735" w:type="dxa"/>
            <w:tcBorders>
              <w:top w:val="nil"/>
              <w:left w:val="nil"/>
              <w:bottom w:val="nil"/>
              <w:right w:val="nil"/>
            </w:tcBorders>
            <w:shd w:val="clear" w:color="auto" w:fill="auto"/>
            <w:noWrap/>
            <w:vAlign w:val="center"/>
          </w:tcPr>
          <w:p w14:paraId="4E9ED559"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3E6B9452"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025D13A"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05D863D5"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597A99F9"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1D2208CA" w14:textId="77777777" w:rsidTr="00360C91">
        <w:trPr>
          <w:gridAfter w:val="1"/>
          <w:wAfter w:w="236" w:type="dxa"/>
          <w:trHeight w:val="930"/>
        </w:trPr>
        <w:tc>
          <w:tcPr>
            <w:tcW w:w="735" w:type="dxa"/>
            <w:tcBorders>
              <w:top w:val="nil"/>
              <w:left w:val="nil"/>
              <w:bottom w:val="nil"/>
              <w:right w:val="nil"/>
            </w:tcBorders>
            <w:shd w:val="clear" w:color="auto" w:fill="auto"/>
            <w:noWrap/>
          </w:tcPr>
          <w:p w14:paraId="5E3CA4CF"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578B7C07"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Providing every aboveground storage tank with some form of construction or device that will relieve excessive internal pressure caused by exposure fires.</w:t>
            </w:r>
          </w:p>
        </w:tc>
      </w:tr>
      <w:tr w:rsidR="00360C91" w:rsidRPr="00360C91" w14:paraId="5F39C212" w14:textId="77777777" w:rsidTr="00360C91">
        <w:trPr>
          <w:trHeight w:val="150"/>
        </w:trPr>
        <w:tc>
          <w:tcPr>
            <w:tcW w:w="735" w:type="dxa"/>
            <w:tcBorders>
              <w:top w:val="nil"/>
              <w:left w:val="nil"/>
              <w:bottom w:val="nil"/>
              <w:right w:val="nil"/>
            </w:tcBorders>
            <w:shd w:val="clear" w:color="auto" w:fill="auto"/>
            <w:noWrap/>
            <w:vAlign w:val="center"/>
          </w:tcPr>
          <w:p w14:paraId="3DB7E49B"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52C9E320"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61B3425"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7CAC2A08"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73D576C1"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689C6AC4" w14:textId="77777777" w:rsidTr="00360C91">
        <w:trPr>
          <w:gridAfter w:val="1"/>
          <w:wAfter w:w="236" w:type="dxa"/>
          <w:trHeight w:val="945"/>
        </w:trPr>
        <w:tc>
          <w:tcPr>
            <w:tcW w:w="735" w:type="dxa"/>
            <w:tcBorders>
              <w:top w:val="nil"/>
              <w:left w:val="nil"/>
              <w:bottom w:val="nil"/>
              <w:right w:val="nil"/>
            </w:tcBorders>
            <w:shd w:val="clear" w:color="auto" w:fill="auto"/>
            <w:noWrap/>
          </w:tcPr>
          <w:p w14:paraId="45D72566"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69C2935E"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 xml:space="preserve">Providing </w:t>
            </w:r>
            <w:proofErr w:type="gramStart"/>
            <w:r w:rsidRPr="00360C91">
              <w:rPr>
                <w:rFonts w:ascii="Times" w:eastAsia="Times New Roman" w:hAnsi="Times" w:cs="Times New Roman"/>
                <w:color w:val="000000"/>
              </w:rPr>
              <w:t>a drainage</w:t>
            </w:r>
            <w:proofErr w:type="gramEnd"/>
            <w:r w:rsidRPr="00360C91">
              <w:rPr>
                <w:rFonts w:ascii="Times" w:eastAsia="Times New Roman" w:hAnsi="Times" w:cs="Times New Roman"/>
                <w:color w:val="000000"/>
              </w:rPr>
              <w:t xml:space="preserve"> and diked areas surrounding a tank or a group of tanks to prevent accidental discharge of liquid from endangering adjoining property or reaching waterways.</w:t>
            </w:r>
          </w:p>
        </w:tc>
      </w:tr>
      <w:tr w:rsidR="00360C91" w:rsidRPr="00360C91" w14:paraId="249F1F9A" w14:textId="77777777" w:rsidTr="00360C91">
        <w:trPr>
          <w:trHeight w:val="150"/>
        </w:trPr>
        <w:tc>
          <w:tcPr>
            <w:tcW w:w="735" w:type="dxa"/>
            <w:tcBorders>
              <w:top w:val="nil"/>
              <w:left w:val="nil"/>
              <w:bottom w:val="nil"/>
              <w:right w:val="nil"/>
            </w:tcBorders>
            <w:shd w:val="clear" w:color="auto" w:fill="auto"/>
            <w:noWrap/>
            <w:vAlign w:val="center"/>
          </w:tcPr>
          <w:p w14:paraId="53B8D770"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752DD5A7"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A6A4C12"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5AF537AA"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0C65489B"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6705BB16" w14:textId="77777777" w:rsidTr="00360C91">
        <w:trPr>
          <w:gridAfter w:val="1"/>
          <w:wAfter w:w="236" w:type="dxa"/>
          <w:trHeight w:val="615"/>
        </w:trPr>
        <w:tc>
          <w:tcPr>
            <w:tcW w:w="735" w:type="dxa"/>
            <w:tcBorders>
              <w:top w:val="nil"/>
              <w:left w:val="nil"/>
              <w:bottom w:val="nil"/>
              <w:right w:val="nil"/>
            </w:tcBorders>
            <w:shd w:val="clear" w:color="auto" w:fill="auto"/>
            <w:noWrap/>
          </w:tcPr>
          <w:p w14:paraId="078C20C1"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25D13C5E"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Providing tank openings and connections with a vapor tight cap or cover.</w:t>
            </w:r>
          </w:p>
        </w:tc>
      </w:tr>
      <w:tr w:rsidR="00360C91" w:rsidRPr="00360C91" w14:paraId="659AD20B" w14:textId="77777777" w:rsidTr="00360C91">
        <w:trPr>
          <w:trHeight w:val="150"/>
        </w:trPr>
        <w:tc>
          <w:tcPr>
            <w:tcW w:w="735" w:type="dxa"/>
            <w:tcBorders>
              <w:top w:val="nil"/>
              <w:left w:val="nil"/>
              <w:bottom w:val="nil"/>
              <w:right w:val="nil"/>
            </w:tcBorders>
            <w:shd w:val="clear" w:color="auto" w:fill="auto"/>
            <w:noWrap/>
            <w:vAlign w:val="center"/>
          </w:tcPr>
          <w:p w14:paraId="61E72C22"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7C94F8D4"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A1ACD1B"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713B7AD1"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11E3A76E"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25C7E928" w14:textId="77777777" w:rsidTr="00360C91">
        <w:trPr>
          <w:gridAfter w:val="1"/>
          <w:wAfter w:w="236" w:type="dxa"/>
          <w:trHeight w:val="630"/>
        </w:trPr>
        <w:tc>
          <w:tcPr>
            <w:tcW w:w="735" w:type="dxa"/>
            <w:tcBorders>
              <w:top w:val="nil"/>
              <w:left w:val="nil"/>
              <w:bottom w:val="nil"/>
              <w:right w:val="nil"/>
            </w:tcBorders>
            <w:shd w:val="clear" w:color="auto" w:fill="auto"/>
            <w:noWrap/>
          </w:tcPr>
          <w:p w14:paraId="7F78DAD7"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5A706B0E"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Installing tank supports on firm foundations of concrete, masonry, or protected steel having a fire resistance rating of not less than 2 hours.</w:t>
            </w:r>
          </w:p>
        </w:tc>
      </w:tr>
      <w:tr w:rsidR="00360C91" w:rsidRPr="00360C91" w14:paraId="163E118C" w14:textId="77777777" w:rsidTr="00360C91">
        <w:trPr>
          <w:trHeight w:val="150"/>
        </w:trPr>
        <w:tc>
          <w:tcPr>
            <w:tcW w:w="735" w:type="dxa"/>
            <w:tcBorders>
              <w:top w:val="nil"/>
              <w:left w:val="nil"/>
              <w:bottom w:val="nil"/>
              <w:right w:val="nil"/>
            </w:tcBorders>
            <w:shd w:val="clear" w:color="auto" w:fill="auto"/>
            <w:noWrap/>
            <w:vAlign w:val="center"/>
          </w:tcPr>
          <w:p w14:paraId="01485AAF"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4FCB9310"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4FD59C16"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50D1E40A"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1F262AA0"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328B2576" w14:textId="77777777" w:rsidTr="00360C91">
        <w:trPr>
          <w:gridAfter w:val="1"/>
          <w:wAfter w:w="236" w:type="dxa"/>
          <w:trHeight w:val="615"/>
        </w:trPr>
        <w:tc>
          <w:tcPr>
            <w:tcW w:w="735" w:type="dxa"/>
            <w:tcBorders>
              <w:top w:val="nil"/>
              <w:left w:val="nil"/>
              <w:bottom w:val="nil"/>
              <w:right w:val="nil"/>
            </w:tcBorders>
            <w:shd w:val="clear" w:color="auto" w:fill="auto"/>
            <w:noWrap/>
          </w:tcPr>
          <w:p w14:paraId="6633DE08"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6ED9BF41"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Providing detailed printed instructions of what to do in flood emergencies.</w:t>
            </w:r>
          </w:p>
        </w:tc>
      </w:tr>
      <w:tr w:rsidR="00360C91" w:rsidRPr="00360C91" w14:paraId="5987516F" w14:textId="77777777" w:rsidTr="00360C91">
        <w:trPr>
          <w:trHeight w:val="150"/>
        </w:trPr>
        <w:tc>
          <w:tcPr>
            <w:tcW w:w="735" w:type="dxa"/>
            <w:tcBorders>
              <w:top w:val="nil"/>
              <w:left w:val="nil"/>
              <w:bottom w:val="nil"/>
              <w:right w:val="nil"/>
            </w:tcBorders>
            <w:shd w:val="clear" w:color="auto" w:fill="auto"/>
            <w:noWrap/>
            <w:vAlign w:val="center"/>
          </w:tcPr>
          <w:p w14:paraId="1F28FBA8"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24B2311"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178CFE26"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16FEA96A"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42B5F510"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40BF2448" w14:textId="77777777" w:rsidTr="00360C91">
        <w:trPr>
          <w:gridAfter w:val="1"/>
          <w:wAfter w:w="236" w:type="dxa"/>
          <w:trHeight w:val="630"/>
        </w:trPr>
        <w:tc>
          <w:tcPr>
            <w:tcW w:w="735" w:type="dxa"/>
            <w:tcBorders>
              <w:top w:val="nil"/>
              <w:left w:val="nil"/>
              <w:bottom w:val="nil"/>
              <w:right w:val="nil"/>
            </w:tcBorders>
            <w:shd w:val="clear" w:color="auto" w:fill="auto"/>
            <w:noWrap/>
          </w:tcPr>
          <w:p w14:paraId="374BFB5F"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78F74280"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Testing all tanks for strength and tightness before they are placed in service.</w:t>
            </w:r>
          </w:p>
        </w:tc>
      </w:tr>
      <w:tr w:rsidR="00360C91" w:rsidRPr="00360C91" w14:paraId="0DE4991F" w14:textId="77777777" w:rsidTr="00360C91">
        <w:trPr>
          <w:trHeight w:val="150"/>
        </w:trPr>
        <w:tc>
          <w:tcPr>
            <w:tcW w:w="735" w:type="dxa"/>
            <w:tcBorders>
              <w:top w:val="nil"/>
              <w:left w:val="nil"/>
              <w:bottom w:val="nil"/>
              <w:right w:val="nil"/>
            </w:tcBorders>
            <w:shd w:val="clear" w:color="auto" w:fill="auto"/>
            <w:noWrap/>
            <w:vAlign w:val="center"/>
          </w:tcPr>
          <w:p w14:paraId="7FDFBAB0"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4509FEA7"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2B7B2B4E"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2F39129F"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3B8C3BF2"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58DD74D3" w14:textId="77777777" w:rsidTr="00360C91">
        <w:trPr>
          <w:gridAfter w:val="1"/>
          <w:wAfter w:w="236" w:type="dxa"/>
          <w:trHeight w:val="630"/>
        </w:trPr>
        <w:tc>
          <w:tcPr>
            <w:tcW w:w="735" w:type="dxa"/>
            <w:tcBorders>
              <w:top w:val="nil"/>
              <w:left w:val="nil"/>
              <w:bottom w:val="nil"/>
              <w:right w:val="nil"/>
            </w:tcBorders>
            <w:shd w:val="clear" w:color="auto" w:fill="auto"/>
            <w:noWrap/>
          </w:tcPr>
          <w:p w14:paraId="15D2E473"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5692CD5E"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Repairing all leaks or deformations in an acceptable manner before the tank is placed in service.</w:t>
            </w:r>
          </w:p>
        </w:tc>
      </w:tr>
      <w:tr w:rsidR="00360C91" w:rsidRPr="00360C91" w14:paraId="5D02513A" w14:textId="77777777" w:rsidTr="00360C91">
        <w:trPr>
          <w:trHeight w:val="150"/>
        </w:trPr>
        <w:tc>
          <w:tcPr>
            <w:tcW w:w="735" w:type="dxa"/>
            <w:tcBorders>
              <w:top w:val="nil"/>
              <w:left w:val="nil"/>
              <w:bottom w:val="nil"/>
              <w:right w:val="nil"/>
            </w:tcBorders>
            <w:shd w:val="clear" w:color="auto" w:fill="auto"/>
            <w:noWrap/>
            <w:vAlign w:val="center"/>
          </w:tcPr>
          <w:p w14:paraId="42D7AF26"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67671F3E"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7A267093"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2FB9BC8D"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03833E86"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4678DAB2" w14:textId="77777777" w:rsidTr="00360C91">
        <w:trPr>
          <w:gridAfter w:val="1"/>
          <w:wAfter w:w="236" w:type="dxa"/>
          <w:trHeight w:val="915"/>
        </w:trPr>
        <w:tc>
          <w:tcPr>
            <w:tcW w:w="735" w:type="dxa"/>
            <w:tcBorders>
              <w:top w:val="nil"/>
              <w:left w:val="nil"/>
              <w:bottom w:val="nil"/>
              <w:right w:val="nil"/>
            </w:tcBorders>
            <w:shd w:val="clear" w:color="auto" w:fill="auto"/>
            <w:noWrap/>
          </w:tcPr>
          <w:p w14:paraId="3CF300E7"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517667CC"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Supporting and protecting piping and tanks against physical damage and excessive stresses arising from settlement, vibration, expansion, contraction or corrosion.</w:t>
            </w:r>
          </w:p>
        </w:tc>
      </w:tr>
      <w:tr w:rsidR="00360C91" w:rsidRPr="00360C91" w14:paraId="1691FDB4" w14:textId="77777777" w:rsidTr="00360C91">
        <w:trPr>
          <w:trHeight w:val="150"/>
        </w:trPr>
        <w:tc>
          <w:tcPr>
            <w:tcW w:w="735" w:type="dxa"/>
            <w:tcBorders>
              <w:top w:val="nil"/>
              <w:left w:val="nil"/>
              <w:bottom w:val="nil"/>
              <w:right w:val="nil"/>
            </w:tcBorders>
            <w:shd w:val="clear" w:color="auto" w:fill="auto"/>
            <w:noWrap/>
            <w:vAlign w:val="center"/>
          </w:tcPr>
          <w:p w14:paraId="256AB37C"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center"/>
            <w:hideMark/>
          </w:tcPr>
          <w:p w14:paraId="09746734" w14:textId="77777777" w:rsidR="00ED4537" w:rsidRPr="00360C91" w:rsidRDefault="00ED4537" w:rsidP="00360C91">
            <w:pPr>
              <w:spacing w:line="360" w:lineRule="auto"/>
              <w:rPr>
                <w:rFonts w:ascii="Times" w:eastAsia="Times New Roman" w:hAnsi="Times" w:cs="Times New Roman"/>
                <w:color w:val="000000"/>
              </w:rPr>
            </w:pPr>
          </w:p>
        </w:tc>
        <w:tc>
          <w:tcPr>
            <w:tcW w:w="2030" w:type="dxa"/>
            <w:tcBorders>
              <w:top w:val="nil"/>
              <w:left w:val="nil"/>
              <w:bottom w:val="nil"/>
              <w:right w:val="nil"/>
            </w:tcBorders>
            <w:shd w:val="clear" w:color="auto" w:fill="auto"/>
            <w:noWrap/>
            <w:vAlign w:val="bottom"/>
            <w:hideMark/>
          </w:tcPr>
          <w:p w14:paraId="51A7F07C" w14:textId="77777777" w:rsidR="00ED4537" w:rsidRPr="00360C91" w:rsidRDefault="00ED4537" w:rsidP="00360C91">
            <w:pPr>
              <w:spacing w:line="360" w:lineRule="auto"/>
              <w:rPr>
                <w:rFonts w:ascii="Times" w:eastAsia="Times New Roman" w:hAnsi="Times" w:cs="Times New Roman"/>
                <w:color w:val="000000"/>
              </w:rPr>
            </w:pPr>
          </w:p>
        </w:tc>
        <w:tc>
          <w:tcPr>
            <w:tcW w:w="4040" w:type="dxa"/>
            <w:tcBorders>
              <w:top w:val="nil"/>
              <w:left w:val="nil"/>
              <w:bottom w:val="nil"/>
              <w:right w:val="nil"/>
            </w:tcBorders>
            <w:shd w:val="clear" w:color="auto" w:fill="auto"/>
            <w:noWrap/>
            <w:vAlign w:val="bottom"/>
            <w:hideMark/>
          </w:tcPr>
          <w:p w14:paraId="32C1A089" w14:textId="77777777" w:rsidR="00ED4537" w:rsidRPr="00360C91" w:rsidRDefault="00ED4537" w:rsidP="00360C91">
            <w:pPr>
              <w:spacing w:line="360" w:lineRule="auto"/>
              <w:rPr>
                <w:rFonts w:ascii="Times" w:eastAsia="Times New Roman" w:hAnsi="Times" w:cs="Times New Roman"/>
                <w:color w:val="000000"/>
              </w:rPr>
            </w:pPr>
          </w:p>
        </w:tc>
        <w:tc>
          <w:tcPr>
            <w:tcW w:w="236" w:type="dxa"/>
            <w:tcBorders>
              <w:top w:val="nil"/>
              <w:left w:val="nil"/>
              <w:bottom w:val="nil"/>
              <w:right w:val="nil"/>
            </w:tcBorders>
            <w:shd w:val="clear" w:color="auto" w:fill="auto"/>
            <w:noWrap/>
            <w:vAlign w:val="bottom"/>
            <w:hideMark/>
          </w:tcPr>
          <w:p w14:paraId="4938794B" w14:textId="77777777" w:rsidR="00ED4537" w:rsidRPr="00360C91" w:rsidRDefault="00ED4537" w:rsidP="00360C91">
            <w:pPr>
              <w:spacing w:line="360" w:lineRule="auto"/>
              <w:rPr>
                <w:rFonts w:ascii="Times" w:eastAsia="Times New Roman" w:hAnsi="Times" w:cs="Times New Roman"/>
                <w:color w:val="000000"/>
              </w:rPr>
            </w:pPr>
          </w:p>
        </w:tc>
      </w:tr>
      <w:tr w:rsidR="00360C91" w:rsidRPr="00360C91" w14:paraId="655E812C" w14:textId="77777777" w:rsidTr="00360C91">
        <w:trPr>
          <w:gridAfter w:val="1"/>
          <w:wAfter w:w="236" w:type="dxa"/>
          <w:trHeight w:val="1560"/>
        </w:trPr>
        <w:tc>
          <w:tcPr>
            <w:tcW w:w="735" w:type="dxa"/>
            <w:tcBorders>
              <w:top w:val="nil"/>
              <w:left w:val="nil"/>
              <w:bottom w:val="nil"/>
              <w:right w:val="nil"/>
            </w:tcBorders>
            <w:shd w:val="clear" w:color="auto" w:fill="auto"/>
            <w:noWrap/>
          </w:tcPr>
          <w:p w14:paraId="79BE927E" w14:textId="77777777" w:rsidR="00ED4537" w:rsidRPr="00360C91" w:rsidRDefault="00ED4537" w:rsidP="00360C91">
            <w:pPr>
              <w:spacing w:line="360" w:lineRule="auto"/>
              <w:ind w:firstLineChars="200" w:firstLine="480"/>
              <w:rPr>
                <w:rFonts w:ascii="Times" w:eastAsia="Times New Roman" w:hAnsi="Times" w:cs="Times New Roman"/>
                <w:color w:val="000000"/>
              </w:rPr>
            </w:pPr>
          </w:p>
        </w:tc>
        <w:tc>
          <w:tcPr>
            <w:tcW w:w="8100" w:type="dxa"/>
            <w:gridSpan w:val="3"/>
            <w:tcBorders>
              <w:top w:val="nil"/>
              <w:left w:val="nil"/>
              <w:bottom w:val="nil"/>
              <w:right w:val="nil"/>
            </w:tcBorders>
            <w:shd w:val="clear" w:color="auto" w:fill="auto"/>
            <w:hideMark/>
          </w:tcPr>
          <w:p w14:paraId="1F06DD24" w14:textId="77777777" w:rsidR="00ED4537" w:rsidRPr="00360C91" w:rsidRDefault="00ED4537" w:rsidP="00360C91">
            <w:pPr>
              <w:spacing w:line="360" w:lineRule="auto"/>
              <w:ind w:firstLineChars="400" w:firstLine="960"/>
              <w:rPr>
                <w:rFonts w:ascii="Times" w:eastAsia="Times New Roman" w:hAnsi="Times" w:cs="Times New Roman"/>
                <w:color w:val="000000"/>
              </w:rPr>
            </w:pPr>
            <w:r w:rsidRPr="00360C91">
              <w:rPr>
                <w:rFonts w:ascii="Times" w:eastAsia="Times New Roman" w:hAnsi="Times" w:cs="Times New Roman"/>
                <w:color w:val="000000"/>
              </w:rPr>
              <w:t>Hydrostatically testing all piping before being covered, enclosed, or placed in use to 150 percent of the maximum anticipated pressure of the system, or pneumatically tested to 110 percent of the maximum anticipated pressure of the system, but not less than 5 pounds per square inch gage at the highest point of the system.</w:t>
            </w:r>
          </w:p>
        </w:tc>
      </w:tr>
    </w:tbl>
    <w:p w14:paraId="758E5FAE" w14:textId="77777777" w:rsidR="00900EE4" w:rsidRPr="00360C91" w:rsidRDefault="00900EE4" w:rsidP="00360C91">
      <w:pPr>
        <w:spacing w:line="360" w:lineRule="auto"/>
        <w:rPr>
          <w:rFonts w:ascii="Times" w:hAnsi="Times"/>
        </w:rPr>
      </w:pPr>
    </w:p>
    <w:sectPr w:rsidR="00900EE4" w:rsidRPr="00360C91"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A0"/>
    <w:rsid w:val="000E4D3C"/>
    <w:rsid w:val="00143EA0"/>
    <w:rsid w:val="002721C6"/>
    <w:rsid w:val="00293812"/>
    <w:rsid w:val="002F6BAA"/>
    <w:rsid w:val="00360C91"/>
    <w:rsid w:val="00643946"/>
    <w:rsid w:val="007F1E3B"/>
    <w:rsid w:val="00900EE4"/>
    <w:rsid w:val="00AD66D2"/>
    <w:rsid w:val="00C42738"/>
    <w:rsid w:val="00C94893"/>
    <w:rsid w:val="00D71173"/>
    <w:rsid w:val="00ED4537"/>
    <w:rsid w:val="00F9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124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0944">
      <w:bodyDiv w:val="1"/>
      <w:marLeft w:val="0"/>
      <w:marRight w:val="0"/>
      <w:marTop w:val="0"/>
      <w:marBottom w:val="0"/>
      <w:divBdr>
        <w:top w:val="none" w:sz="0" w:space="0" w:color="auto"/>
        <w:left w:val="none" w:sz="0" w:space="0" w:color="auto"/>
        <w:bottom w:val="none" w:sz="0" w:space="0" w:color="auto"/>
        <w:right w:val="none" w:sz="0" w:space="0" w:color="auto"/>
      </w:divBdr>
    </w:div>
    <w:div w:id="423497824">
      <w:bodyDiv w:val="1"/>
      <w:marLeft w:val="0"/>
      <w:marRight w:val="0"/>
      <w:marTop w:val="0"/>
      <w:marBottom w:val="0"/>
      <w:divBdr>
        <w:top w:val="none" w:sz="0" w:space="0" w:color="auto"/>
        <w:left w:val="none" w:sz="0" w:space="0" w:color="auto"/>
        <w:bottom w:val="none" w:sz="0" w:space="0" w:color="auto"/>
        <w:right w:val="none" w:sz="0" w:space="0" w:color="auto"/>
      </w:divBdr>
    </w:div>
    <w:div w:id="476730553">
      <w:bodyDiv w:val="1"/>
      <w:marLeft w:val="0"/>
      <w:marRight w:val="0"/>
      <w:marTop w:val="0"/>
      <w:marBottom w:val="0"/>
      <w:divBdr>
        <w:top w:val="none" w:sz="0" w:space="0" w:color="auto"/>
        <w:left w:val="none" w:sz="0" w:space="0" w:color="auto"/>
        <w:bottom w:val="none" w:sz="0" w:space="0" w:color="auto"/>
        <w:right w:val="none" w:sz="0" w:space="0" w:color="auto"/>
      </w:divBdr>
    </w:div>
    <w:div w:id="679740503">
      <w:bodyDiv w:val="1"/>
      <w:marLeft w:val="0"/>
      <w:marRight w:val="0"/>
      <w:marTop w:val="0"/>
      <w:marBottom w:val="0"/>
      <w:divBdr>
        <w:top w:val="none" w:sz="0" w:space="0" w:color="auto"/>
        <w:left w:val="none" w:sz="0" w:space="0" w:color="auto"/>
        <w:bottom w:val="none" w:sz="0" w:space="0" w:color="auto"/>
        <w:right w:val="none" w:sz="0" w:space="0" w:color="auto"/>
      </w:divBdr>
    </w:div>
    <w:div w:id="744687977">
      <w:bodyDiv w:val="1"/>
      <w:marLeft w:val="0"/>
      <w:marRight w:val="0"/>
      <w:marTop w:val="0"/>
      <w:marBottom w:val="0"/>
      <w:divBdr>
        <w:top w:val="none" w:sz="0" w:space="0" w:color="auto"/>
        <w:left w:val="none" w:sz="0" w:space="0" w:color="auto"/>
        <w:bottom w:val="none" w:sz="0" w:space="0" w:color="auto"/>
        <w:right w:val="none" w:sz="0" w:space="0" w:color="auto"/>
      </w:divBdr>
    </w:div>
    <w:div w:id="1078403075">
      <w:bodyDiv w:val="1"/>
      <w:marLeft w:val="0"/>
      <w:marRight w:val="0"/>
      <w:marTop w:val="0"/>
      <w:marBottom w:val="0"/>
      <w:divBdr>
        <w:top w:val="none" w:sz="0" w:space="0" w:color="auto"/>
        <w:left w:val="none" w:sz="0" w:space="0" w:color="auto"/>
        <w:bottom w:val="none" w:sz="0" w:space="0" w:color="auto"/>
        <w:right w:val="none" w:sz="0" w:space="0" w:color="auto"/>
      </w:divBdr>
    </w:div>
    <w:div w:id="1098519619">
      <w:bodyDiv w:val="1"/>
      <w:marLeft w:val="0"/>
      <w:marRight w:val="0"/>
      <w:marTop w:val="0"/>
      <w:marBottom w:val="0"/>
      <w:divBdr>
        <w:top w:val="none" w:sz="0" w:space="0" w:color="auto"/>
        <w:left w:val="none" w:sz="0" w:space="0" w:color="auto"/>
        <w:bottom w:val="none" w:sz="0" w:space="0" w:color="auto"/>
        <w:right w:val="none" w:sz="0" w:space="0" w:color="auto"/>
      </w:divBdr>
    </w:div>
    <w:div w:id="1194422430">
      <w:bodyDiv w:val="1"/>
      <w:marLeft w:val="0"/>
      <w:marRight w:val="0"/>
      <w:marTop w:val="0"/>
      <w:marBottom w:val="0"/>
      <w:divBdr>
        <w:top w:val="none" w:sz="0" w:space="0" w:color="auto"/>
        <w:left w:val="none" w:sz="0" w:space="0" w:color="auto"/>
        <w:bottom w:val="none" w:sz="0" w:space="0" w:color="auto"/>
        <w:right w:val="none" w:sz="0" w:space="0" w:color="auto"/>
      </w:divBdr>
    </w:div>
    <w:div w:id="1405881809">
      <w:bodyDiv w:val="1"/>
      <w:marLeft w:val="0"/>
      <w:marRight w:val="0"/>
      <w:marTop w:val="0"/>
      <w:marBottom w:val="0"/>
      <w:divBdr>
        <w:top w:val="none" w:sz="0" w:space="0" w:color="auto"/>
        <w:left w:val="none" w:sz="0" w:space="0" w:color="auto"/>
        <w:bottom w:val="none" w:sz="0" w:space="0" w:color="auto"/>
        <w:right w:val="none" w:sz="0" w:space="0" w:color="auto"/>
      </w:divBdr>
    </w:div>
    <w:div w:id="2014449203">
      <w:bodyDiv w:val="1"/>
      <w:marLeft w:val="0"/>
      <w:marRight w:val="0"/>
      <w:marTop w:val="0"/>
      <w:marBottom w:val="0"/>
      <w:divBdr>
        <w:top w:val="none" w:sz="0" w:space="0" w:color="auto"/>
        <w:left w:val="none" w:sz="0" w:space="0" w:color="auto"/>
        <w:bottom w:val="none" w:sz="0" w:space="0" w:color="auto"/>
        <w:right w:val="none" w:sz="0" w:space="0" w:color="auto"/>
      </w:divBdr>
    </w:div>
    <w:div w:id="2030443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380</Words>
  <Characters>2168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Adriane Williams</cp:lastModifiedBy>
  <cp:revision>4</cp:revision>
  <dcterms:created xsi:type="dcterms:W3CDTF">2015-11-19T21:28:00Z</dcterms:created>
  <dcterms:modified xsi:type="dcterms:W3CDTF">2016-01-27T14:45:00Z</dcterms:modified>
  <cp:category/>
</cp:coreProperties>
</file>